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0" w:firstLineChars="1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关于申报202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年度川酒发展研究中心规划项目的通知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川酒发展研究中心规划项目申报指南》经四川省教育厅科技与研究生教育处及四川省哲学社会科学重点研究基地、四川省高校人文社会科学重点研究基地——川酒发展研究中心（以下简称“中心”）学术委员会同意，现将项目申报工作的有关事项通知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坚持</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以习近平新时代中国特色社会主义思想为指导，深入贯彻落实党的二十大精神</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，积极推动中国白酒产业高质量发展，为繁荣发展</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习近平新时代中国特色</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、四川特点的哲学社会科学贡献应有力量。202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年度川酒发展研究中心规划项目</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要针对</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川酒产业及企业发展的理论、学术观点等进行创新性研究；针对川酒研究的热点、难点、重大理论问题和技术难题等开展原创性研究；倡导理论研究与应用研究相结合；项目研究能有效推动白酒产业和服务地方经济发展，为加强依法治国、政府决策、资源利用、环境保护和产业发展等服务，突出川酒研究的重要性和应用性。项目研究要充分反映该研究领域及相关研究领域的新进展，具有前沿性、创新性和原创性，提倡大胆探索、勇于创新，避免低水平、重复性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二、此次项目申报立足四川、面向全国，坚持基础研究与应用研究并重，尤其欢迎具有全局高度、理论深度、操作性强和重大应用价值的选题，鼓励政府主管部门、高校、科研单位和企事业单位联合申报。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三、202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年川酒发展研究中心规划项目设置及申报条件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1、招标项目：“中心”资助经费不低于3万元/项，结题要求主要为专著出版或被省部级领导签字批示或相关级别部门批复采纳的成果专报，2年内完成，申报者须具有副高以上职称或取得博士学位；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2、重点项目：“中心”资助经费不低于1.6万元/项，1年内完成，申报者原则上须具有副高以上职称或取得博士学位，不具备以上条件者须有两名具有正高级职称的专家推荐。结题要求为满足以下条件之一：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（1）专著出版；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（2）被地厅级领导签字批示；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（3）地厅级别部门批复采纳的成果专报；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（4）1篇C刊及以上论文；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（5）2篇核心期刊论文。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3、一般项目：“中心”资助经费不低于0.8万元/项，1年内完成。一般项目申请者一般须具有中级以上职称及硕士研究生以上学历，结题要求为满足以下条件之一：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（1）1篇核心期刊论文；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（2）2篇《川酒发展研究论丛》论文（未经公开发表且字数不低于8000字，同时提交查重报告，查重率不高于20%）；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（3）被地厅级领导签字批示或相关级别部门批复采纳的成果专报或被全国知名白酒企业采用的成果应用证明。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立项项目必须在规定时间内完成。所有课题研究成果（论文、专著、研究报告、成果报道等）发表皆应注明“四川省哲学社会科学重点研究基地——川酒发展研究中心 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年度资助项目”，并标注项目名称和项目编号。除须标注项目名称和项目编号外，还须将“川酒发展研究中心”作为成果完成单位之一。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4、有下列情形之一者不得申报：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（1）在研的川酒发展研究中心研究项目负责人不得申报。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（2）近2年被作撤项处理的国家级、省部级哲学社会科学研究项目负责人和近2年被作撤项处理的川酒发展研究中心研究项目负责人不得申报。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（3）经查实，违反学术道德和科研诚信，存在学术不端行为的人员不得申报。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四、所有立项项目在满足以上结题条件的同时，原则上均须向“中心”报送一份未经公开发表且字数不低于1万字的相关研究报告，该报告被采用后方能申请结题。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五、按照四川省教育厅的有关规定，凡申报本“中心”项目，不占该校计划指标。各高校及相关部门要加强对项目申报工作的组织指导和审核，保证申报质量。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六、为保证评审工作的公正性，严格评审纪律，在立项项目评审会召开之前，任何单位或个人均不得以任何名义走访评审专家，一经发现，3年内不得申报本中心项目。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七、本次受理申报时间从即日起至202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20</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日截止。申报单位务必于截止日期前将审查合格的申报书和论证活页纸质文档（注：申报书和论证活页纸质文档均须A3双面打印、中缝装订，每项一式5份，其中1份原件，4份复印件）和电子文档报送至“中心”，逾期不再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八、项目申报书和论证活页请从“中心”网站的“下载专区” 下载。本公告及有关材料同时在“中心”网站发布，欢迎访问、 查询、下载（“中心”网址：http://cjzx.suse.edu.cn/）。本次申报书及论证活页以“中心”网站“下载专区”提供的模</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板</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收件</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地址：</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四川省自贡市大安区永田路100号，四川轻化工大学李白河校区（尚美楼261办公室）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邮政编码：64</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000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lang w:val="en-US"/>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13778585651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电子信箱：</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fldChar w:fldCharType="begin"/>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instrText xml:space="preserve"> HYPERLINK "mailto:cjfzyjzx@126.com" </w:instrTex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fldChar w:fldCharType="separate"/>
      </w:r>
      <w:r>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t>cjfzyjzx@126.com</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联 系 人：</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方燕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440" w:firstLineChars="17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川酒发展研究中心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xml:space="preserve">                             </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  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1920" w:firstLineChars="600"/>
        <w:jc w:val="left"/>
        <w:rPr>
          <w:rFonts w:hint="default"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川酒发展研究中心202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年项目指南</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方正仿宋_GB2312" w:hAnsi="方正仿宋_GB2312" w:eastAsia="方正仿宋_GB2312" w:cs="方正仿宋_GB2312"/>
          <w:b/>
          <w:bCs/>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招标项目指南</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1.贵州茅台酒与四川泸州酒的酿造渊源及近代历史地位分异</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jc w:val="left"/>
        <w:rPr>
          <w:rFonts w:hint="default"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白酒新质生产力的内涵特征、发展重点与提升路径研究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3.其他自拟题目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eastAsia" w:ascii="方正仿宋_GB2312" w:hAnsi="方正仿宋_GB2312" w:eastAsia="方正仿宋_GB2312" w:cs="方正仿宋_GB2312"/>
          <w:i w:val="0"/>
          <w:iCs w:val="0"/>
          <w:caps w:val="0"/>
          <w:color w:val="000000" w:themeColor="text1"/>
          <w:spacing w:val="0"/>
          <w:sz w:val="32"/>
          <w:szCs w:val="32"/>
          <w14:textFill>
            <w14:solidFill>
              <w14:schemeClr w14:val="tx1"/>
            </w14:solidFill>
          </w14:textFill>
        </w:rPr>
      </w:pPr>
      <w:r>
        <w:rPr>
          <w:rFonts w:hint="eastAsia" w:ascii="方正仿宋_GB2312" w:hAnsi="方正仿宋_GB2312" w:eastAsia="方正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二、重点项目指南</w:t>
      </w:r>
    </w:p>
    <w:p>
      <w:pPr>
        <w:pStyle w:val="3"/>
        <w:ind w:firstLine="640" w:firstLineChars="200"/>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1.四川白酒话语体系构建研究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2.双碳目标下白酒企业竞争战略研究</w:t>
      </w:r>
    </w:p>
    <w:p>
      <w:pPr>
        <w:pStyle w:val="3"/>
        <w:ind w:firstLine="640" w:firstLineChars="200"/>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“双循环”格局下川酒产业</w:t>
      </w:r>
      <w:r>
        <w:rPr>
          <w:rFonts w:hint="eastAsia" w:ascii="方正仿宋_GB2312" w:hAnsi="方正仿宋_GB2312" w:eastAsia="方正仿宋_GB2312" w:cs="方正仿宋_GB2312"/>
          <w:color w:val="000000" w:themeColor="text1"/>
          <w:kern w:val="2"/>
          <w:sz w:val="32"/>
          <w:szCs w:val="32"/>
          <w:highlight w:val="none"/>
          <w:lang w:val="en-US" w:eastAsia="zh-CN" w:bidi="ar-SA"/>
          <w14:textFill>
            <w14:solidFill>
              <w14:schemeClr w14:val="tx1"/>
            </w14:solidFill>
          </w14:textFill>
        </w:rPr>
        <w:t>现实难点、堵点及提升路径研究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4.白酒企业数智创新高质量发展研究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5.基于大数据的白酒消费行为研究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6.白酒数智化转型与营销创新研究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7.四川白酒融入成渝地区双城经济圈战略路径研究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pPr>
      <w:r>
        <w:rPr>
          <w:rFonts w:hint="eastAsia" w:ascii="方正仿宋_GB2312" w:hAnsi="方正仿宋_GB2312" w:eastAsia="方正仿宋_GB2312" w:cs="方正仿宋_GB2312"/>
          <w:i w:val="0"/>
          <w:iCs w:val="0"/>
          <w:caps w:val="0"/>
          <w:color w:val="000000" w:themeColor="text1"/>
          <w:spacing w:val="0"/>
          <w:kern w:val="0"/>
          <w:sz w:val="32"/>
          <w:szCs w:val="32"/>
          <w:lang w:val="en-US" w:eastAsia="zh-CN" w:bidi="ar"/>
          <w14:textFill>
            <w14:solidFill>
              <w14:schemeClr w14:val="tx1"/>
            </w14:solidFill>
          </w14:textFill>
        </w:rPr>
        <w:t>8.其他自拟题目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方正仿宋_GB2312" w:hAnsi="方正仿宋_GB2312" w:eastAsia="方正仿宋_GB2312" w:cs="方正仿宋_GB2312"/>
          <w:i w:val="0"/>
          <w:iCs w:val="0"/>
          <w:caps w:val="0"/>
          <w:color w:val="000000" w:themeColor="text1"/>
          <w:spacing w:val="0"/>
          <w:sz w:val="32"/>
          <w:szCs w:val="32"/>
          <w14:textFill>
            <w14:solidFill>
              <w14:schemeClr w14:val="tx1"/>
            </w14:solidFill>
          </w14:textFill>
        </w:rPr>
      </w:pPr>
      <w:r>
        <w:rPr>
          <w:rFonts w:hint="eastAsia" w:ascii="方正仿宋_GB2312" w:hAnsi="方正仿宋_GB2312" w:eastAsia="方正仿宋_GB2312" w:cs="方正仿宋_GB2312"/>
          <w:b/>
          <w:bCs/>
          <w:i w:val="0"/>
          <w:iCs w:val="0"/>
          <w:caps w:val="0"/>
          <w:color w:val="000000" w:themeColor="text1"/>
          <w:spacing w:val="0"/>
          <w:kern w:val="0"/>
          <w:sz w:val="32"/>
          <w:szCs w:val="32"/>
          <w:lang w:val="en-US" w:eastAsia="zh-CN" w:bidi="ar"/>
          <w14:textFill>
            <w14:solidFill>
              <w14:schemeClr w14:val="tx1"/>
            </w14:solidFill>
          </w14:textFill>
        </w:rPr>
        <w:t>三、一般项目指南</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1.传统酒企引入科技创新要素提升高质量发展的路径研究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2.多维度多视角构建川酒跨境电商可持续发展生态体系研究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3.公共景观设计中的川酒文化涵化机制研究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4.人工智能技术对川酒产业结构变迁的影响与机制研究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5.数字技术在白酒产业链中的应用与优化研究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6.四川白酒产业现代化体系建设研究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7.四川白酒产业与旅游产业融合高质量发展路径及策略研究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8.四川民族地区酒文化研究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9.四川向西开放战略赋能川酒国际化发展研究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10.文化生态视域下川酒的数字化保护与开发研究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11.新时期川酒品牌形象塑造及酒文化传播策略</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12.“健康融合”视域下川酒产业融入大健康战略的路径探索</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13.RCEP框架下中国白酒跨境电商发展对策研究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14</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.其他自拟题目</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1.本指南是“中心”202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年项目研究方向，申报人员也可根据202</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年项目指南、川酒发展前沿研究领域及自身研究优势自行设计题目进行申报，研究方向</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包括但不限于</w:t>
      </w:r>
      <w:r>
        <w:rPr>
          <w:rFonts w:hint="eastAsia" w:ascii="方正仿宋_GB2312" w:hAnsi="方正仿宋_GB2312" w:eastAsia="方正仿宋_GB2312" w:cs="方正仿宋_GB2312"/>
          <w:color w:val="000000" w:themeColor="text1"/>
          <w:sz w:val="32"/>
          <w:szCs w:val="32"/>
          <w:highlight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川酒领域，请有意于决策理论与方法及应用研究等相关领域的专家、学者积极申报；</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32"/>
          <w:szCs w:val="32"/>
          <w:highlight w:val="none"/>
          <w14:textFill>
            <w14:solidFill>
              <w14:schemeClr w14:val="tx1"/>
            </w14:solidFill>
          </w14:textFill>
        </w:rPr>
        <w:t>2.本“中心”可资助博士论文，观点新颖、符合要求的博士论文按重点项目立项。</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embedRegular r:id="rId1" w:fontKey="{19A80600-678B-4790-9830-6FC3E4FCEF1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D775E"/>
    <w:multiLevelType w:val="singleLevel"/>
    <w:tmpl w:val="340D775E"/>
    <w:lvl w:ilvl="0" w:tentative="0">
      <w:start w:val="1"/>
      <w:numFmt w:val="chineseCounting"/>
      <w:suff w:val="nothing"/>
      <w:lvlText w:val="%1、"/>
      <w:lvlJc w:val="left"/>
      <w:rPr>
        <w:rFonts w:hint="eastAsia"/>
      </w:rPr>
    </w:lvl>
  </w:abstractNum>
  <w:abstractNum w:abstractNumId="1">
    <w:nsid w:val="7E4CDF1A"/>
    <w:multiLevelType w:val="singleLevel"/>
    <w:tmpl w:val="7E4CDF1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59656CE5"/>
    <w:rsid w:val="00312A6B"/>
    <w:rsid w:val="0CEE5296"/>
    <w:rsid w:val="1789459B"/>
    <w:rsid w:val="19610992"/>
    <w:rsid w:val="1ED749B3"/>
    <w:rsid w:val="238D5B79"/>
    <w:rsid w:val="36184A5B"/>
    <w:rsid w:val="3C3723ED"/>
    <w:rsid w:val="45B843FC"/>
    <w:rsid w:val="484D37E1"/>
    <w:rsid w:val="4BD61429"/>
    <w:rsid w:val="4E941852"/>
    <w:rsid w:val="55B71B58"/>
    <w:rsid w:val="59656CE5"/>
    <w:rsid w:val="5FB00D50"/>
    <w:rsid w:val="77A613DD"/>
    <w:rsid w:val="78F46178"/>
    <w:rsid w:val="7B2C7682"/>
    <w:rsid w:val="7E6A3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2023-01-31T01:43:00Z</dcterms:created>
  <dc:creator>三级跳</dc:creator>
  <cp:lastModifiedBy>三级跳</cp:lastModifiedBy>
  <dcterms:modified xsi:type="dcterms:W3CDTF">2024-03-04T01:11:27Z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78E0CC54BBDF4806A2EAF26832B10760_13</vt:lpwstr>
  </property>
</Properties>
</file>